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DF" w:rsidRPr="001C40DF" w:rsidRDefault="001C40DF" w:rsidP="001C40DF">
      <w:pPr>
        <w:jc w:val="center"/>
        <w:rPr>
          <w:rFonts w:ascii="Arial" w:hAnsi="Arial" w:cs="Arial"/>
          <w:b/>
          <w:lang w:val="es-MX"/>
        </w:rPr>
      </w:pPr>
      <w:r w:rsidRPr="001C40DF">
        <w:rPr>
          <w:rFonts w:ascii="Arial" w:hAnsi="Arial" w:cs="Arial"/>
          <w:b/>
          <w:lang w:val="es-MX"/>
        </w:rPr>
        <w:t>Boletín de prensa, 16 de febrero de 2015</w:t>
      </w:r>
    </w:p>
    <w:p w:rsidR="001C40DF" w:rsidRDefault="001C40DF" w:rsidP="001C40DF">
      <w:pPr>
        <w:rPr>
          <w:rFonts w:ascii="Arial" w:hAnsi="Arial" w:cs="Arial"/>
          <w:sz w:val="52"/>
          <w:lang w:val="es-MX"/>
        </w:rPr>
      </w:pPr>
      <w:r>
        <w:rPr>
          <w:rFonts w:ascii="Arial" w:hAnsi="Arial" w:cs="Arial"/>
          <w:noProof/>
          <w:sz w:val="52"/>
          <w:lang w:val="es-MX" w:eastAsia="es-MX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-102870</wp:posOffset>
            </wp:positionH>
            <wp:positionV relativeFrom="paragraph">
              <wp:posOffset>915670</wp:posOffset>
            </wp:positionV>
            <wp:extent cx="2419350" cy="800100"/>
            <wp:effectExtent l="19050" t="0" r="0" b="0"/>
            <wp:wrapTight wrapText="bothSides">
              <wp:wrapPolygon edited="0">
                <wp:start x="-170" y="0"/>
                <wp:lineTo x="-170" y="21086"/>
                <wp:lineTo x="21600" y="21086"/>
                <wp:lineTo x="21600" y="0"/>
                <wp:lineTo x="-170" y="0"/>
              </wp:wrapPolygon>
            </wp:wrapTight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_StudyinHolland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28" t="11524" r="3719" b="1401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EF8">
        <w:rPr>
          <w:rFonts w:ascii="Arial" w:hAnsi="Arial" w:cs="Arial"/>
          <w:sz w:val="52"/>
          <w:lang w:val="es-MX"/>
        </w:rPr>
        <w:t>Nuevo programa de becas de Holanda aumentar</w:t>
      </w:r>
      <w:r>
        <w:rPr>
          <w:rFonts w:ascii="Arial" w:hAnsi="Arial" w:cs="Arial"/>
          <w:sz w:val="52"/>
          <w:lang w:val="es-MX"/>
        </w:rPr>
        <w:t>á</w:t>
      </w:r>
      <w:r w:rsidRPr="00587EF8">
        <w:rPr>
          <w:rFonts w:ascii="Arial" w:hAnsi="Arial" w:cs="Arial"/>
          <w:sz w:val="52"/>
          <w:lang w:val="es-MX"/>
        </w:rPr>
        <w:t xml:space="preserve"> la movilidad estudiantil</w:t>
      </w:r>
    </w:p>
    <w:p w:rsidR="001C40DF" w:rsidRDefault="001C40DF" w:rsidP="001C40DF">
      <w:pPr>
        <w:rPr>
          <w:rFonts w:ascii="Arial" w:hAnsi="Arial" w:cs="Arial"/>
          <w:sz w:val="20"/>
          <w:szCs w:val="20"/>
          <w:lang w:val="es-MX"/>
        </w:rPr>
      </w:pPr>
      <w:r w:rsidRPr="00587EF8">
        <w:rPr>
          <w:rFonts w:ascii="Arial" w:hAnsi="Arial" w:cs="Arial"/>
          <w:sz w:val="20"/>
          <w:szCs w:val="20"/>
          <w:lang w:val="es-MX"/>
        </w:rPr>
        <w:t xml:space="preserve">A partir de hoy </w:t>
      </w:r>
      <w:r w:rsidR="0096367A">
        <w:rPr>
          <w:rFonts w:ascii="Arial" w:hAnsi="Arial" w:cs="Arial"/>
          <w:sz w:val="20"/>
          <w:szCs w:val="20"/>
          <w:lang w:val="es-MX"/>
        </w:rPr>
        <w:t>inicia</w:t>
      </w:r>
      <w:r w:rsidRPr="00587EF8">
        <w:rPr>
          <w:rFonts w:ascii="Arial" w:hAnsi="Arial" w:cs="Arial"/>
          <w:sz w:val="20"/>
          <w:szCs w:val="20"/>
          <w:lang w:val="es-MX"/>
        </w:rPr>
        <w:t xml:space="preserve"> la convocatoria del ‘Holland </w:t>
      </w:r>
      <w:proofErr w:type="spellStart"/>
      <w:r w:rsidRPr="00587EF8">
        <w:rPr>
          <w:rFonts w:ascii="Arial" w:hAnsi="Arial" w:cs="Arial"/>
          <w:sz w:val="20"/>
          <w:szCs w:val="20"/>
          <w:lang w:val="es-MX"/>
        </w:rPr>
        <w:t>Scholarship</w:t>
      </w:r>
      <w:proofErr w:type="spellEnd"/>
      <w:r w:rsidRPr="00587EF8">
        <w:rPr>
          <w:rFonts w:ascii="Arial" w:hAnsi="Arial" w:cs="Arial"/>
          <w:sz w:val="20"/>
          <w:szCs w:val="20"/>
          <w:lang w:val="es-MX"/>
        </w:rPr>
        <w:t xml:space="preserve">’, un nuevo programa de becas para estudiar en </w:t>
      </w:r>
      <w:r>
        <w:rPr>
          <w:rFonts w:ascii="Arial" w:hAnsi="Arial" w:cs="Arial"/>
          <w:sz w:val="20"/>
          <w:szCs w:val="20"/>
          <w:lang w:val="es-MX"/>
        </w:rPr>
        <w:t>los Países Bajos</w:t>
      </w:r>
      <w:r w:rsidRPr="00587EF8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1C40DF" w:rsidRPr="001C40DF" w:rsidRDefault="001C40DF" w:rsidP="001C40DF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Cada año 768 estudiantes talentosos de países no-Europeos tendrán la oportunidad de cursar una licenciatura o una maestría en los Países Bajos</w:t>
      </w:r>
      <w:r w:rsidR="0096367A">
        <w:rPr>
          <w:rFonts w:ascii="Arial" w:hAnsi="Arial" w:cs="Arial"/>
          <w:sz w:val="20"/>
          <w:szCs w:val="20"/>
          <w:lang w:val="es-MX"/>
        </w:rPr>
        <w:t xml:space="preserve"> con el apoyo de la beca</w:t>
      </w:r>
      <w:r>
        <w:rPr>
          <w:rFonts w:ascii="Arial" w:hAnsi="Arial" w:cs="Arial"/>
          <w:sz w:val="20"/>
          <w:szCs w:val="20"/>
          <w:lang w:val="es-MX"/>
        </w:rPr>
        <w:t xml:space="preserve">. Adicionalmente, 768 estudiantes holandeses podrán tener una estancia de estudios, de prácticas profesionales o de investigación de 3 meses o más en un país fuera del Área Económica Europea. El </w:t>
      </w:r>
      <w:r w:rsidR="0096367A">
        <w:rPr>
          <w:rFonts w:ascii="Arial" w:hAnsi="Arial" w:cs="Arial"/>
          <w:sz w:val="20"/>
          <w:szCs w:val="20"/>
          <w:lang w:val="es-MX"/>
        </w:rPr>
        <w:t>objetivo</w:t>
      </w:r>
      <w:r>
        <w:rPr>
          <w:rFonts w:ascii="Arial" w:hAnsi="Arial" w:cs="Arial"/>
          <w:sz w:val="20"/>
          <w:szCs w:val="20"/>
          <w:lang w:val="es-MX"/>
        </w:rPr>
        <w:t xml:space="preserve"> del programa del Holland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Scholarship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es aumentar el perfil de la educación superior holandesa </w:t>
      </w:r>
      <w:r w:rsidR="008337C8">
        <w:rPr>
          <w:rFonts w:ascii="Arial" w:hAnsi="Arial" w:cs="Arial"/>
          <w:sz w:val="20"/>
          <w:szCs w:val="20"/>
          <w:lang w:val="es-MX"/>
        </w:rPr>
        <w:t xml:space="preserve">e </w:t>
      </w:r>
      <w:r w:rsidR="0096367A">
        <w:rPr>
          <w:rFonts w:ascii="Arial" w:hAnsi="Arial" w:cs="Arial"/>
          <w:sz w:val="20"/>
          <w:szCs w:val="20"/>
          <w:lang w:val="es-MX"/>
        </w:rPr>
        <w:t xml:space="preserve">incrementar </w:t>
      </w:r>
      <w:r>
        <w:rPr>
          <w:rFonts w:ascii="Arial" w:hAnsi="Arial" w:cs="Arial"/>
          <w:sz w:val="20"/>
          <w:szCs w:val="20"/>
          <w:lang w:val="es-MX"/>
        </w:rPr>
        <w:t>la movilidad estudiantil, tanto para estudiantes internacionales como para holandeses.</w:t>
      </w:r>
    </w:p>
    <w:p w:rsidR="001C40DF" w:rsidRPr="001868ED" w:rsidRDefault="001C40DF" w:rsidP="001C40DF">
      <w:pPr>
        <w:pStyle w:val="Default"/>
        <w:rPr>
          <w:rFonts w:ascii="Arial" w:hAnsi="Arial" w:cs="Arial"/>
          <w:b/>
          <w:sz w:val="22"/>
          <w:szCs w:val="22"/>
          <w:lang w:val="es-MX"/>
        </w:rPr>
      </w:pPr>
      <w:r w:rsidRPr="001868ED">
        <w:rPr>
          <w:rFonts w:ascii="Arial" w:hAnsi="Arial" w:cs="Arial"/>
          <w:b/>
          <w:sz w:val="22"/>
          <w:lang w:val="es-MX"/>
        </w:rPr>
        <w:t xml:space="preserve">Programa de becas </w:t>
      </w:r>
      <w:r w:rsidR="0096367A">
        <w:rPr>
          <w:rFonts w:ascii="Arial" w:hAnsi="Arial" w:cs="Arial"/>
          <w:b/>
          <w:sz w:val="22"/>
          <w:lang w:val="es-MX"/>
        </w:rPr>
        <w:t xml:space="preserve">nacional </w:t>
      </w:r>
      <w:r w:rsidRPr="001868ED">
        <w:rPr>
          <w:rFonts w:ascii="Arial" w:hAnsi="Arial" w:cs="Arial"/>
          <w:b/>
          <w:sz w:val="22"/>
          <w:lang w:val="es-MX"/>
        </w:rPr>
        <w:t>de los Pa</w:t>
      </w:r>
      <w:r>
        <w:rPr>
          <w:rFonts w:ascii="Arial" w:hAnsi="Arial" w:cs="Arial"/>
          <w:b/>
          <w:sz w:val="22"/>
          <w:lang w:val="es-MX"/>
        </w:rPr>
        <w:t>íses Bajos</w:t>
      </w:r>
    </w:p>
    <w:p w:rsidR="001C40DF" w:rsidRDefault="001C40DF" w:rsidP="001C40DF">
      <w:pPr>
        <w:pStyle w:val="Default"/>
        <w:rPr>
          <w:rFonts w:ascii="Arial" w:hAnsi="Arial" w:cs="Arial"/>
          <w:sz w:val="20"/>
          <w:szCs w:val="20"/>
          <w:lang w:val="es-MX"/>
        </w:rPr>
      </w:pPr>
      <w:r w:rsidRPr="001868ED">
        <w:rPr>
          <w:rFonts w:ascii="Arial" w:hAnsi="Arial" w:cs="Arial"/>
          <w:sz w:val="20"/>
          <w:szCs w:val="20"/>
          <w:lang w:val="es-MX"/>
        </w:rPr>
        <w:t xml:space="preserve">El programa del Holland </w:t>
      </w:r>
      <w:proofErr w:type="spellStart"/>
      <w:r w:rsidRPr="001868ED">
        <w:rPr>
          <w:rFonts w:ascii="Arial" w:hAnsi="Arial" w:cs="Arial"/>
          <w:sz w:val="20"/>
          <w:szCs w:val="20"/>
          <w:lang w:val="es-MX"/>
        </w:rPr>
        <w:t>Scholarship</w:t>
      </w:r>
      <w:proofErr w:type="spellEnd"/>
      <w:r w:rsidRPr="001868ED">
        <w:rPr>
          <w:rFonts w:ascii="Arial" w:hAnsi="Arial" w:cs="Arial"/>
          <w:sz w:val="20"/>
          <w:szCs w:val="20"/>
          <w:lang w:val="es-MX"/>
        </w:rPr>
        <w:t xml:space="preserve"> es el nuevo prog</w:t>
      </w:r>
      <w:r>
        <w:rPr>
          <w:rFonts w:ascii="Arial" w:hAnsi="Arial" w:cs="Arial"/>
          <w:sz w:val="20"/>
          <w:szCs w:val="20"/>
          <w:lang w:val="es-MX"/>
        </w:rPr>
        <w:t xml:space="preserve">rama nacional de becas de Holanda. </w:t>
      </w:r>
      <w:r w:rsidR="0096367A">
        <w:rPr>
          <w:rFonts w:ascii="Arial" w:hAnsi="Arial" w:cs="Arial"/>
          <w:sz w:val="20"/>
          <w:szCs w:val="20"/>
          <w:lang w:val="es-MX"/>
        </w:rPr>
        <w:t>La mitad de los fondos proviene</w:t>
      </w:r>
      <w:r>
        <w:rPr>
          <w:rFonts w:ascii="Arial" w:hAnsi="Arial" w:cs="Arial"/>
          <w:sz w:val="20"/>
          <w:szCs w:val="20"/>
          <w:lang w:val="es-MX"/>
        </w:rPr>
        <w:t xml:space="preserve"> del Ministerio de Educación, Cultura y Ciencias de los Países Bajos, </w:t>
      </w:r>
      <w:r w:rsidR="0096367A">
        <w:rPr>
          <w:rFonts w:ascii="Arial" w:hAnsi="Arial" w:cs="Arial"/>
          <w:sz w:val="20"/>
          <w:szCs w:val="20"/>
          <w:lang w:val="es-MX"/>
        </w:rPr>
        <w:t>la otra mitad d</w:t>
      </w:r>
      <w:r>
        <w:rPr>
          <w:rFonts w:ascii="Arial" w:hAnsi="Arial" w:cs="Arial"/>
          <w:sz w:val="20"/>
          <w:szCs w:val="20"/>
          <w:lang w:val="es-MX"/>
        </w:rPr>
        <w:t xml:space="preserve">el VSNU (la Asociación de Universidades de los Países Bajos), la Asociación Holandesa de Universidades de Ciencias Aplicadas y EP-Nuffic (la Organización Holandesa para la Internacionalización de la Educación Superior). En total 48 universidades de investigación y universidades de ciencias aplicadas participan en el programa. </w:t>
      </w:r>
    </w:p>
    <w:p w:rsidR="0096367A" w:rsidRDefault="0096367A" w:rsidP="001C40DF">
      <w:pPr>
        <w:pStyle w:val="Default"/>
        <w:rPr>
          <w:rFonts w:ascii="Arial" w:hAnsi="Arial" w:cs="Arial"/>
          <w:sz w:val="20"/>
          <w:szCs w:val="20"/>
          <w:lang w:val="es-MX"/>
        </w:rPr>
      </w:pPr>
    </w:p>
    <w:p w:rsidR="001C40DF" w:rsidRDefault="008337C8" w:rsidP="001C40DF">
      <w:pPr>
        <w:pStyle w:val="Default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La </w:t>
      </w:r>
      <w:r w:rsidR="001C40DF">
        <w:rPr>
          <w:rFonts w:ascii="Arial" w:hAnsi="Arial" w:cs="Arial"/>
          <w:sz w:val="20"/>
          <w:szCs w:val="20"/>
          <w:lang w:val="es-MX"/>
        </w:rPr>
        <w:t xml:space="preserve">Ministra de Educación, Cultura y Ciencias Jet </w:t>
      </w:r>
      <w:proofErr w:type="spellStart"/>
      <w:r w:rsidR="001C40DF">
        <w:rPr>
          <w:rFonts w:ascii="Arial" w:hAnsi="Arial" w:cs="Arial"/>
          <w:sz w:val="20"/>
          <w:szCs w:val="20"/>
          <w:lang w:val="es-MX"/>
        </w:rPr>
        <w:t>Bussemaker</w:t>
      </w:r>
      <w:proofErr w:type="spellEnd"/>
      <w:r>
        <w:rPr>
          <w:rFonts w:ascii="Arial" w:hAnsi="Arial" w:cs="Arial"/>
          <w:sz w:val="20"/>
          <w:szCs w:val="20"/>
          <w:lang w:val="es-MX"/>
        </w:rPr>
        <w:t>,</w:t>
      </w:r>
      <w:r w:rsidR="001C40DF">
        <w:rPr>
          <w:rFonts w:ascii="Arial" w:hAnsi="Arial" w:cs="Arial"/>
          <w:sz w:val="20"/>
          <w:szCs w:val="20"/>
          <w:lang w:val="es-MX"/>
        </w:rPr>
        <w:t xml:space="preserve"> comentó: “Una experiencia internacional es un valor agregado muy importante para los estudiantes. Dejar atrás lo conocido para una estancia de estudios o prácticas en una cultura y en un ambiente diferente es realmente una experiencia enriquecedora.”</w:t>
      </w:r>
    </w:p>
    <w:p w:rsidR="001C40DF" w:rsidRPr="001C40DF" w:rsidRDefault="001C40DF" w:rsidP="001C40DF">
      <w:pPr>
        <w:pStyle w:val="Default"/>
        <w:rPr>
          <w:rFonts w:ascii="Arial" w:hAnsi="Arial" w:cs="Arial"/>
          <w:i/>
          <w:sz w:val="20"/>
          <w:szCs w:val="20"/>
          <w:lang w:val="es-MX"/>
        </w:rPr>
      </w:pPr>
    </w:p>
    <w:p w:rsidR="001C40DF" w:rsidRPr="00B70BEB" w:rsidRDefault="001C40DF" w:rsidP="001C4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lang w:val="es-MX"/>
        </w:rPr>
      </w:pPr>
      <w:r w:rsidRPr="00B70BEB">
        <w:rPr>
          <w:rFonts w:ascii="Arial" w:hAnsi="Arial" w:cs="Arial"/>
          <w:b/>
          <w:color w:val="000000"/>
          <w:lang w:val="es-MX"/>
        </w:rPr>
        <w:t>La importancia de la internacionalización</w:t>
      </w:r>
    </w:p>
    <w:p w:rsidR="001C40DF" w:rsidRPr="001C40DF" w:rsidRDefault="001C40DF" w:rsidP="001C4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MX"/>
        </w:rPr>
      </w:pPr>
      <w:r w:rsidRPr="00B70BEB">
        <w:rPr>
          <w:rFonts w:ascii="Arial" w:hAnsi="Arial" w:cs="Arial"/>
          <w:color w:val="000000"/>
          <w:sz w:val="20"/>
          <w:szCs w:val="20"/>
          <w:lang w:val="es-MX"/>
        </w:rPr>
        <w:t xml:space="preserve">El programa del Holland </w:t>
      </w:r>
      <w:proofErr w:type="spellStart"/>
      <w:r w:rsidRPr="00B70BEB">
        <w:rPr>
          <w:rFonts w:ascii="Arial" w:hAnsi="Arial" w:cs="Arial"/>
          <w:color w:val="000000"/>
          <w:sz w:val="20"/>
          <w:szCs w:val="20"/>
          <w:lang w:val="es-MX"/>
        </w:rPr>
        <w:t>Scholarship</w:t>
      </w:r>
      <w:proofErr w:type="spellEnd"/>
      <w:r w:rsidRPr="00B70BEB">
        <w:rPr>
          <w:rFonts w:ascii="Arial" w:hAnsi="Arial" w:cs="Arial"/>
          <w:color w:val="000000"/>
          <w:sz w:val="20"/>
          <w:szCs w:val="20"/>
          <w:lang w:val="es-MX"/>
        </w:rPr>
        <w:t xml:space="preserve"> mejora la calidad de la educaci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ón universitaria a través de </w:t>
      </w:r>
      <w:r w:rsidR="008337C8">
        <w:rPr>
          <w:rFonts w:ascii="Arial" w:hAnsi="Arial" w:cs="Arial"/>
          <w:color w:val="000000"/>
          <w:sz w:val="20"/>
          <w:szCs w:val="20"/>
          <w:lang w:val="es-MX"/>
        </w:rPr>
        <w:t xml:space="preserve">la oportunidad de estudiar en 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un salón de clases internacional. </w:t>
      </w:r>
      <w:r w:rsidR="0096367A">
        <w:rPr>
          <w:rFonts w:ascii="Arial" w:hAnsi="Arial" w:cs="Arial"/>
          <w:color w:val="000000"/>
          <w:sz w:val="20"/>
          <w:szCs w:val="20"/>
          <w:lang w:val="es-MX"/>
        </w:rPr>
        <w:t>Durante los estudios, habrá más convivencia entre estudiantes internacionales y estudiantes holandeses que obtuvieron una experiencia similar cuando ellos estudiaron en el extranjero.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Esta</w:t>
      </w:r>
      <w:r w:rsidR="0096367A">
        <w:rPr>
          <w:rFonts w:ascii="Arial" w:hAnsi="Arial" w:cs="Arial"/>
          <w:color w:val="000000"/>
          <w:sz w:val="20"/>
          <w:szCs w:val="20"/>
          <w:lang w:val="es-MX"/>
        </w:rPr>
        <w:t>s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experiencia</w:t>
      </w:r>
      <w:r w:rsidR="0096367A">
        <w:rPr>
          <w:rFonts w:ascii="Arial" w:hAnsi="Arial" w:cs="Arial"/>
          <w:color w:val="000000"/>
          <w:sz w:val="20"/>
          <w:szCs w:val="20"/>
          <w:lang w:val="es-MX"/>
        </w:rPr>
        <w:t>s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ayudará</w:t>
      </w:r>
      <w:r w:rsidR="0096367A">
        <w:rPr>
          <w:rFonts w:ascii="Arial" w:hAnsi="Arial" w:cs="Arial"/>
          <w:color w:val="000000"/>
          <w:sz w:val="20"/>
          <w:szCs w:val="20"/>
          <w:lang w:val="es-MX"/>
        </w:rPr>
        <w:t>n a los estudiantes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="008337C8">
        <w:rPr>
          <w:rFonts w:ascii="Arial" w:hAnsi="Arial" w:cs="Arial"/>
          <w:color w:val="000000"/>
          <w:sz w:val="20"/>
          <w:szCs w:val="20"/>
          <w:lang w:val="es-MX"/>
        </w:rPr>
        <w:t xml:space="preserve">a 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desarrollar habilidades internacionales, los cuales </w:t>
      </w:r>
      <w:r w:rsidR="008337C8">
        <w:rPr>
          <w:rFonts w:ascii="Arial" w:hAnsi="Arial" w:cs="Arial"/>
          <w:color w:val="000000"/>
          <w:sz w:val="20"/>
          <w:szCs w:val="20"/>
          <w:lang w:val="es-MX"/>
        </w:rPr>
        <w:t xml:space="preserve">resultarán 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en mejores oportunidades en el mercado laboral. </w:t>
      </w:r>
      <w:r w:rsidR="0096367A">
        <w:rPr>
          <w:rFonts w:ascii="Arial" w:hAnsi="Arial" w:cs="Arial"/>
          <w:color w:val="000000"/>
          <w:sz w:val="20"/>
          <w:szCs w:val="20"/>
          <w:lang w:val="es-MX"/>
        </w:rPr>
        <w:t>Por eso</w:t>
      </w:r>
      <w:r>
        <w:rPr>
          <w:rFonts w:ascii="Arial" w:hAnsi="Arial" w:cs="Arial"/>
          <w:color w:val="000000"/>
          <w:sz w:val="20"/>
          <w:szCs w:val="20"/>
          <w:lang w:val="es-MX"/>
        </w:rPr>
        <w:t>, muchos estudiantes de cualquier cultura refieren a su estancia en el extranjero como una experiencia que cambió su vida.</w:t>
      </w:r>
    </w:p>
    <w:p w:rsidR="001C40DF" w:rsidRPr="001C40DF" w:rsidRDefault="001C40DF" w:rsidP="001C40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MX"/>
        </w:rPr>
      </w:pPr>
    </w:p>
    <w:p w:rsidR="001C40DF" w:rsidRPr="001C40DF" w:rsidRDefault="001C40DF" w:rsidP="001C40DF">
      <w:pPr>
        <w:rPr>
          <w:rFonts w:ascii="Arial" w:hAnsi="Arial" w:cs="Arial"/>
          <w:sz w:val="20"/>
          <w:szCs w:val="20"/>
          <w:lang w:val="es-MX"/>
        </w:rPr>
      </w:pPr>
      <w:r w:rsidRPr="00B70BEB">
        <w:rPr>
          <w:rFonts w:ascii="Arial" w:hAnsi="Arial" w:cs="Arial"/>
          <w:b/>
          <w:lang w:val="es-MX"/>
        </w:rPr>
        <w:t xml:space="preserve">El Holland </w:t>
      </w:r>
      <w:proofErr w:type="spellStart"/>
      <w:r w:rsidRPr="00B70BEB">
        <w:rPr>
          <w:rFonts w:ascii="Arial" w:hAnsi="Arial" w:cs="Arial"/>
          <w:b/>
          <w:lang w:val="es-MX"/>
        </w:rPr>
        <w:t>Scholarship</w:t>
      </w:r>
      <w:proofErr w:type="spellEnd"/>
      <w:r w:rsidRPr="00B70BEB">
        <w:rPr>
          <w:rFonts w:ascii="Arial" w:hAnsi="Arial" w:cs="Arial"/>
          <w:b/>
          <w:lang w:val="es-MX"/>
        </w:rPr>
        <w:br/>
      </w:r>
      <w:r w:rsidRPr="00B70BEB">
        <w:rPr>
          <w:rFonts w:ascii="Arial" w:hAnsi="Arial" w:cs="Arial"/>
          <w:sz w:val="20"/>
          <w:szCs w:val="20"/>
          <w:lang w:val="es-MX"/>
        </w:rPr>
        <w:t xml:space="preserve">En total habrá 1,536 becas disponibles cada año. </w:t>
      </w:r>
      <w:r>
        <w:rPr>
          <w:rFonts w:ascii="Arial" w:hAnsi="Arial" w:cs="Arial"/>
          <w:sz w:val="20"/>
          <w:szCs w:val="20"/>
          <w:lang w:val="es-MX"/>
        </w:rPr>
        <w:t xml:space="preserve">Los estudiantes internacionales podrán encontrar toda la información del programa en </w:t>
      </w:r>
      <w:hyperlink r:id="rId7" w:history="1">
        <w:r w:rsidRPr="005703E3">
          <w:rPr>
            <w:rStyle w:val="Hipervnculo"/>
            <w:rFonts w:cs="Arial"/>
            <w:sz w:val="20"/>
            <w:szCs w:val="20"/>
            <w:lang w:val="es-MX"/>
          </w:rPr>
          <w:t>www.nesolatinoamerica.org/hollandscholarship</w:t>
        </w:r>
      </w:hyperlink>
      <w:r>
        <w:rPr>
          <w:rFonts w:ascii="Arial" w:hAnsi="Arial" w:cs="Arial"/>
          <w:sz w:val="20"/>
          <w:szCs w:val="20"/>
          <w:lang w:val="es-MX"/>
        </w:rPr>
        <w:t xml:space="preserve"> y a través de la oficina Nuffic Neso Latinoamérica, la </w:t>
      </w:r>
      <w:r w:rsidR="0096367A">
        <w:rPr>
          <w:rFonts w:ascii="Arial" w:hAnsi="Arial" w:cs="Arial"/>
          <w:sz w:val="20"/>
          <w:szCs w:val="20"/>
          <w:lang w:val="es-MX"/>
        </w:rPr>
        <w:t xml:space="preserve">oficina de </w:t>
      </w:r>
      <w:r>
        <w:rPr>
          <w:rFonts w:ascii="Arial" w:hAnsi="Arial" w:cs="Arial"/>
          <w:sz w:val="20"/>
          <w:szCs w:val="20"/>
          <w:lang w:val="es-MX"/>
        </w:rPr>
        <w:t>representa</w:t>
      </w:r>
      <w:r w:rsidR="0096367A">
        <w:rPr>
          <w:rFonts w:ascii="Arial" w:hAnsi="Arial" w:cs="Arial"/>
          <w:sz w:val="20"/>
          <w:szCs w:val="20"/>
          <w:lang w:val="es-MX"/>
        </w:rPr>
        <w:t>ción oficial de</w:t>
      </w:r>
      <w:r>
        <w:rPr>
          <w:rFonts w:ascii="Arial" w:hAnsi="Arial" w:cs="Arial"/>
          <w:sz w:val="20"/>
          <w:szCs w:val="20"/>
          <w:lang w:val="es-MX"/>
        </w:rPr>
        <w:t xml:space="preserve"> la educación superior holandesa </w:t>
      </w:r>
      <w:r w:rsidR="0096367A">
        <w:rPr>
          <w:rFonts w:ascii="Arial" w:hAnsi="Arial" w:cs="Arial"/>
          <w:sz w:val="20"/>
          <w:szCs w:val="20"/>
          <w:lang w:val="es-MX"/>
        </w:rPr>
        <w:t xml:space="preserve">para </w:t>
      </w:r>
      <w:r>
        <w:rPr>
          <w:rFonts w:ascii="Arial" w:hAnsi="Arial" w:cs="Arial"/>
          <w:sz w:val="20"/>
          <w:szCs w:val="20"/>
          <w:lang w:val="es-MX"/>
        </w:rPr>
        <w:t>México y los países latinoamericanos.</w:t>
      </w:r>
    </w:p>
    <w:p w:rsidR="001C40DF" w:rsidRDefault="001C40DF" w:rsidP="001C40DF">
      <w:pPr>
        <w:rPr>
          <w:rFonts w:ascii="Arial" w:hAnsi="Arial" w:cs="Arial"/>
          <w:sz w:val="20"/>
          <w:szCs w:val="20"/>
          <w:lang w:val="es-MX"/>
        </w:rPr>
      </w:pPr>
      <w:r w:rsidRPr="008414C1">
        <w:rPr>
          <w:rFonts w:ascii="Arial" w:hAnsi="Arial" w:cs="Arial"/>
          <w:sz w:val="20"/>
          <w:szCs w:val="20"/>
          <w:lang w:val="es-MX"/>
        </w:rPr>
        <w:t>Los estudiantes que desean estudiar en Holanda podr</w:t>
      </w:r>
      <w:r>
        <w:rPr>
          <w:rFonts w:ascii="Arial" w:hAnsi="Arial" w:cs="Arial"/>
          <w:sz w:val="20"/>
          <w:szCs w:val="20"/>
          <w:lang w:val="es-MX"/>
        </w:rPr>
        <w:t>án obtener una beca de € 5,000 para un programa completo de licenciatura o maestría, impartido en inglés.</w:t>
      </w:r>
      <w:r w:rsidR="0096367A">
        <w:rPr>
          <w:rFonts w:ascii="Arial" w:hAnsi="Arial" w:cs="Arial"/>
          <w:sz w:val="20"/>
          <w:szCs w:val="20"/>
          <w:lang w:val="es-MX"/>
        </w:rPr>
        <w:t xml:space="preserve"> Estudiantes holandeses podrán obtener una beca con un valor de € 1,250 para su estancia en un país no-europeo. El proceso de solicitud será a través de la universidad que eligió el estudiante.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96367A">
        <w:rPr>
          <w:rFonts w:ascii="Arial" w:hAnsi="Arial" w:cs="Arial"/>
          <w:sz w:val="20"/>
          <w:szCs w:val="20"/>
          <w:lang w:val="es-MX"/>
        </w:rPr>
        <w:t xml:space="preserve">La fecha límite para solicitar la beca es el 31 de marzo de 2015. </w:t>
      </w:r>
      <w:r>
        <w:rPr>
          <w:rFonts w:ascii="Arial" w:hAnsi="Arial" w:cs="Arial"/>
          <w:sz w:val="20"/>
          <w:szCs w:val="20"/>
          <w:lang w:val="es-MX"/>
        </w:rPr>
        <w:t xml:space="preserve">Los primeros becarios llegarán en el inicio del próximo año académico, en septiembre de este año. </w:t>
      </w:r>
    </w:p>
    <w:p w:rsidR="0096367A" w:rsidRPr="0096367A" w:rsidRDefault="0096367A" w:rsidP="001C40DF">
      <w:pPr>
        <w:rPr>
          <w:rFonts w:ascii="Arial" w:hAnsi="Arial" w:cs="Arial"/>
          <w:b/>
          <w:lang w:val="es-MX"/>
        </w:rPr>
      </w:pPr>
      <w:r w:rsidRPr="0096367A">
        <w:rPr>
          <w:rFonts w:ascii="Arial" w:hAnsi="Arial" w:cs="Arial"/>
          <w:b/>
          <w:lang w:val="es-MX"/>
        </w:rPr>
        <w:t xml:space="preserve">Coexistencia con el Orange </w:t>
      </w:r>
      <w:proofErr w:type="spellStart"/>
      <w:r w:rsidRPr="0096367A">
        <w:rPr>
          <w:rFonts w:ascii="Arial" w:hAnsi="Arial" w:cs="Arial"/>
          <w:b/>
          <w:lang w:val="es-MX"/>
        </w:rPr>
        <w:t>Tulip</w:t>
      </w:r>
      <w:proofErr w:type="spellEnd"/>
      <w:r w:rsidRPr="0096367A">
        <w:rPr>
          <w:rFonts w:ascii="Arial" w:hAnsi="Arial" w:cs="Arial"/>
          <w:b/>
          <w:lang w:val="es-MX"/>
        </w:rPr>
        <w:t xml:space="preserve"> </w:t>
      </w:r>
      <w:proofErr w:type="spellStart"/>
      <w:r w:rsidRPr="0096367A">
        <w:rPr>
          <w:rFonts w:ascii="Arial" w:hAnsi="Arial" w:cs="Arial"/>
          <w:b/>
          <w:lang w:val="es-MX"/>
        </w:rPr>
        <w:t>Scholarship</w:t>
      </w:r>
      <w:proofErr w:type="spellEnd"/>
    </w:p>
    <w:p w:rsidR="0096367A" w:rsidRPr="0096367A" w:rsidRDefault="0096367A" w:rsidP="001C40DF">
      <w:pPr>
        <w:rPr>
          <w:rFonts w:ascii="Arial" w:hAnsi="Arial" w:cs="Arial"/>
          <w:sz w:val="20"/>
          <w:szCs w:val="20"/>
          <w:lang w:val="es-MX"/>
        </w:rPr>
      </w:pPr>
      <w:r w:rsidRPr="0096367A">
        <w:rPr>
          <w:rFonts w:ascii="Arial" w:hAnsi="Arial" w:cs="Arial"/>
          <w:sz w:val="20"/>
          <w:szCs w:val="20"/>
          <w:lang w:val="es-MX"/>
        </w:rPr>
        <w:lastRenderedPageBreak/>
        <w:t>El nuevo programa de becas co</w:t>
      </w:r>
      <w:r>
        <w:rPr>
          <w:rFonts w:ascii="Arial" w:hAnsi="Arial" w:cs="Arial"/>
          <w:sz w:val="20"/>
          <w:szCs w:val="20"/>
          <w:lang w:val="es-MX"/>
        </w:rPr>
        <w:t xml:space="preserve">existirá junto al Orange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Tulip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Scholarship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programa de becas exclusivamente para mexicanos. </w:t>
      </w:r>
      <w:r w:rsidR="008337C8">
        <w:rPr>
          <w:rFonts w:ascii="Arial" w:hAnsi="Arial" w:cs="Arial"/>
          <w:sz w:val="20"/>
          <w:szCs w:val="20"/>
          <w:lang w:val="es-MX"/>
        </w:rPr>
        <w:t>Los e</w:t>
      </w:r>
      <w:r>
        <w:rPr>
          <w:rFonts w:ascii="Arial" w:hAnsi="Arial" w:cs="Arial"/>
          <w:sz w:val="20"/>
          <w:szCs w:val="20"/>
          <w:lang w:val="es-MX"/>
        </w:rPr>
        <w:t>studiantes</w:t>
      </w:r>
      <w:r w:rsidR="008337C8">
        <w:rPr>
          <w:rFonts w:ascii="Arial" w:hAnsi="Arial" w:cs="Arial"/>
          <w:sz w:val="20"/>
          <w:szCs w:val="20"/>
          <w:lang w:val="es-MX"/>
        </w:rPr>
        <w:t xml:space="preserve"> interesados</w:t>
      </w:r>
      <w:r>
        <w:rPr>
          <w:rFonts w:ascii="Arial" w:hAnsi="Arial" w:cs="Arial"/>
          <w:sz w:val="20"/>
          <w:szCs w:val="20"/>
          <w:lang w:val="es-MX"/>
        </w:rPr>
        <w:t xml:space="preserve"> podrán solicitar una de esas becas al mismo tiempo que el Holland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Scholarship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; la universidad que ofrece la beca decidirá si se podrá otorgar ambos apoyos o no. La información completa acerca del programa de becas para mexicanos </w:t>
      </w:r>
      <w:r w:rsidR="008B1366">
        <w:rPr>
          <w:rFonts w:ascii="Arial" w:hAnsi="Arial" w:cs="Arial"/>
          <w:sz w:val="20"/>
          <w:szCs w:val="20"/>
          <w:lang w:val="es-MX"/>
        </w:rPr>
        <w:t>se encuentra</w:t>
      </w:r>
      <w:r>
        <w:rPr>
          <w:rFonts w:ascii="Arial" w:hAnsi="Arial" w:cs="Arial"/>
          <w:sz w:val="20"/>
          <w:szCs w:val="20"/>
          <w:lang w:val="es-MX"/>
        </w:rPr>
        <w:t xml:space="preserve"> en </w:t>
      </w:r>
      <w:hyperlink r:id="rId8" w:history="1">
        <w:r w:rsidRPr="0041030D">
          <w:rPr>
            <w:rStyle w:val="Hipervnculo"/>
            <w:rFonts w:cs="Arial"/>
            <w:sz w:val="20"/>
            <w:szCs w:val="20"/>
            <w:lang w:val="es-MX"/>
          </w:rPr>
          <w:t>www.nesolatinoamerica.org/ots</w:t>
        </w:r>
      </w:hyperlink>
      <w:r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1C40DF" w:rsidRPr="0096367A" w:rsidRDefault="001C40DF" w:rsidP="001C40DF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2554605</wp:posOffset>
            </wp:positionH>
            <wp:positionV relativeFrom="paragraph">
              <wp:posOffset>353060</wp:posOffset>
            </wp:positionV>
            <wp:extent cx="1611630" cy="390525"/>
            <wp:effectExtent l="19050" t="0" r="7620" b="0"/>
            <wp:wrapTight wrapText="bothSides">
              <wp:wrapPolygon edited="0">
                <wp:start x="-255" y="0"/>
                <wp:lineTo x="-255" y="21073"/>
                <wp:lineTo x="21702" y="21073"/>
                <wp:lineTo x="21702" y="0"/>
                <wp:lineTo x="-255" y="0"/>
              </wp:wrapPolygon>
            </wp:wrapTight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Vereniging Hogescholen  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495425" cy="828675"/>
            <wp:effectExtent l="19050" t="0" r="9525" b="0"/>
            <wp:wrapTight wrapText="bothSides">
              <wp:wrapPolygon edited="0">
                <wp:start x="-275" y="0"/>
                <wp:lineTo x="-275" y="21352"/>
                <wp:lineTo x="21738" y="21352"/>
                <wp:lineTo x="21738" y="0"/>
                <wp:lineTo x="-275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41201_PRI_NUF_EP_combilogo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76835</wp:posOffset>
            </wp:positionV>
            <wp:extent cx="695325" cy="942975"/>
            <wp:effectExtent l="19050" t="0" r="9525" b="0"/>
            <wp:wrapTight wrapText="bothSides">
              <wp:wrapPolygon edited="0">
                <wp:start x="-592" y="0"/>
                <wp:lineTo x="-592" y="21382"/>
                <wp:lineTo x="21896" y="21382"/>
                <wp:lineTo x="21896" y="0"/>
                <wp:lineTo x="-592" y="0"/>
              </wp:wrapPolygon>
            </wp:wrapTight>
            <wp:docPr id="4" name="Afbeelding 4" descr="X:\shared\Informatiediensten\Afdeling Voorlichting\2310  Relatiebeheer\CCP\CCP Beurzen\Holland Scholarship\Vormgeving\Logo VSNU VH OCW\VSNU_logo_digit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hared\Informatiediensten\Afdeling Voorlichting\2310  Relatiebeheer\CCP\CCP Beurzen\Holland Scholarship\Vormgeving\Logo VSNU VH OCW\VSNU_logo_digita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76835</wp:posOffset>
            </wp:positionV>
            <wp:extent cx="1295400" cy="944245"/>
            <wp:effectExtent l="19050" t="0" r="0" b="0"/>
            <wp:wrapTight wrapText="bothSides">
              <wp:wrapPolygon edited="0">
                <wp:start x="-318" y="0"/>
                <wp:lineTo x="-318" y="21353"/>
                <wp:lineTo x="21600" y="21353"/>
                <wp:lineTo x="21600" y="0"/>
                <wp:lineTo x="-318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OCW 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0DF" w:rsidRPr="0096367A" w:rsidRDefault="001C40DF" w:rsidP="001C40DF">
      <w:pPr>
        <w:rPr>
          <w:rFonts w:ascii="Arial" w:hAnsi="Arial" w:cs="Arial"/>
          <w:sz w:val="20"/>
          <w:szCs w:val="20"/>
          <w:lang w:val="es-MX"/>
        </w:rPr>
      </w:pPr>
    </w:p>
    <w:p w:rsidR="001C40DF" w:rsidRPr="0096367A" w:rsidRDefault="001C40DF" w:rsidP="001C40DF">
      <w:pPr>
        <w:rPr>
          <w:rFonts w:ascii="Arial" w:hAnsi="Arial" w:cs="Arial"/>
          <w:sz w:val="20"/>
          <w:szCs w:val="20"/>
          <w:lang w:val="es-MX"/>
        </w:rPr>
      </w:pPr>
    </w:p>
    <w:p w:rsidR="001C40DF" w:rsidRPr="0096367A" w:rsidRDefault="001C40DF" w:rsidP="001C40DF">
      <w:pPr>
        <w:rPr>
          <w:lang w:val="es-MX"/>
        </w:rPr>
      </w:pPr>
    </w:p>
    <w:p w:rsidR="001C40DF" w:rsidRPr="0096367A" w:rsidRDefault="001C40DF" w:rsidP="001C40DF">
      <w:pPr>
        <w:rPr>
          <w:rFonts w:ascii="Arial" w:hAnsi="Arial" w:cs="Arial"/>
          <w:lang w:val="es-MX"/>
        </w:rPr>
      </w:pPr>
    </w:p>
    <w:p w:rsidR="00487E1B" w:rsidRPr="0096367A" w:rsidRDefault="00487E1B" w:rsidP="00EE2ECE">
      <w:pPr>
        <w:spacing w:after="0"/>
        <w:rPr>
          <w:lang w:val="es-MX"/>
        </w:rPr>
      </w:pPr>
    </w:p>
    <w:p w:rsidR="001C40DF" w:rsidRPr="0096367A" w:rsidRDefault="001C40DF" w:rsidP="00EE2ECE">
      <w:pPr>
        <w:spacing w:after="0"/>
        <w:rPr>
          <w:lang w:val="es-MX"/>
        </w:rPr>
      </w:pPr>
    </w:p>
    <w:p w:rsidR="001C40DF" w:rsidRDefault="001C40DF" w:rsidP="001C40DF">
      <w:pPr>
        <w:jc w:val="center"/>
        <w:rPr>
          <w:lang w:val="es-ES"/>
        </w:rPr>
      </w:pPr>
      <w:r>
        <w:rPr>
          <w:lang w:val="es-ES"/>
        </w:rPr>
        <w:t>- - - - - - FIN DEL BOLETÍN - - - - - -</w:t>
      </w:r>
    </w:p>
    <w:p w:rsidR="001C40DF" w:rsidRDefault="001C40DF" w:rsidP="001C40DF">
      <w:pPr>
        <w:spacing w:after="0"/>
        <w:jc w:val="center"/>
        <w:rPr>
          <w:lang w:val="es-ES"/>
        </w:rPr>
      </w:pPr>
    </w:p>
    <w:p w:rsidR="001C40DF" w:rsidRPr="001C40DF" w:rsidRDefault="001C40DF" w:rsidP="001C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  <w:i/>
          <w:sz w:val="16"/>
          <w:lang w:val="es-MX"/>
        </w:rPr>
      </w:pPr>
      <w:r w:rsidRPr="001C40DF">
        <w:rPr>
          <w:rFonts w:ascii="Arial" w:hAnsi="Arial" w:cs="Arial"/>
          <w:b/>
          <w:i/>
          <w:sz w:val="16"/>
          <w:lang w:val="es-MX"/>
        </w:rPr>
        <w:t xml:space="preserve">Acerca de Nuffic Neso </w:t>
      </w:r>
      <w:proofErr w:type="spellStart"/>
      <w:r>
        <w:rPr>
          <w:rFonts w:ascii="Arial" w:hAnsi="Arial" w:cs="Arial"/>
          <w:b/>
          <w:i/>
          <w:sz w:val="16"/>
          <w:lang w:val="es-MX"/>
        </w:rPr>
        <w:t>Latinamérica</w:t>
      </w:r>
      <w:proofErr w:type="spellEnd"/>
    </w:p>
    <w:p w:rsidR="001C40DF" w:rsidRPr="001C40DF" w:rsidRDefault="001C40DF" w:rsidP="001C4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16"/>
          <w:lang w:val="es-MX"/>
        </w:rPr>
      </w:pPr>
      <w:r>
        <w:rPr>
          <w:rFonts w:ascii="Arial" w:hAnsi="Arial" w:cs="Arial"/>
          <w:i/>
          <w:sz w:val="16"/>
          <w:lang w:val="es-MX"/>
        </w:rPr>
        <w:t xml:space="preserve">Ubicada en la Ciudad de </w:t>
      </w:r>
      <w:r w:rsidRPr="001C40DF">
        <w:rPr>
          <w:rFonts w:ascii="Arial" w:hAnsi="Arial" w:cs="Arial"/>
          <w:i/>
          <w:sz w:val="16"/>
          <w:lang w:val="es-MX"/>
        </w:rPr>
        <w:t>México</w:t>
      </w:r>
      <w:r>
        <w:rPr>
          <w:rFonts w:ascii="Arial" w:hAnsi="Arial" w:cs="Arial"/>
          <w:i/>
          <w:sz w:val="16"/>
          <w:lang w:val="es-MX"/>
        </w:rPr>
        <w:t>,</w:t>
      </w:r>
      <w:r w:rsidRPr="001C40DF">
        <w:rPr>
          <w:rFonts w:ascii="Arial" w:hAnsi="Arial" w:cs="Arial"/>
          <w:i/>
          <w:sz w:val="16"/>
          <w:lang w:val="es-MX"/>
        </w:rPr>
        <w:t xml:space="preserve"> el </w:t>
      </w:r>
      <w:proofErr w:type="spellStart"/>
      <w:r w:rsidRPr="001C40DF">
        <w:rPr>
          <w:rFonts w:ascii="Arial" w:hAnsi="Arial" w:cs="Arial"/>
          <w:i/>
          <w:sz w:val="16"/>
          <w:lang w:val="es-MX"/>
        </w:rPr>
        <w:t>Netherlands</w:t>
      </w:r>
      <w:proofErr w:type="spellEnd"/>
      <w:r w:rsidRPr="001C40DF">
        <w:rPr>
          <w:rFonts w:ascii="Arial" w:hAnsi="Arial" w:cs="Arial"/>
          <w:i/>
          <w:sz w:val="16"/>
          <w:lang w:val="es-MX"/>
        </w:rPr>
        <w:t xml:space="preserve"> Education Support Office (Nuffic Neso Mexico) es la representación oficial de la educación superior holandesa y ofrece apoyo tanto a los estudiantes </w:t>
      </w:r>
      <w:r>
        <w:rPr>
          <w:rFonts w:ascii="Arial" w:hAnsi="Arial" w:cs="Arial"/>
          <w:i/>
          <w:sz w:val="16"/>
          <w:lang w:val="es-MX"/>
        </w:rPr>
        <w:t>latinoamericanos</w:t>
      </w:r>
      <w:r w:rsidRPr="001C40DF">
        <w:rPr>
          <w:rFonts w:ascii="Arial" w:hAnsi="Arial" w:cs="Arial"/>
          <w:i/>
          <w:sz w:val="16"/>
          <w:lang w:val="es-MX"/>
        </w:rPr>
        <w:t xml:space="preserve"> (con orientación acerca de las instituciones, los programas, los trámites y las becas), como a las universidades mexicanas que desean cooperar a nivel institucional con instituciones holandesas. Es una oficina sin fines de lucro financiada con fondos que provienen del Ministerio de Educación, Cultura y Ciencia de Holanda. </w:t>
      </w:r>
    </w:p>
    <w:p w:rsidR="001C40DF" w:rsidRPr="001C40DF" w:rsidRDefault="001C40DF" w:rsidP="001C40DF">
      <w:pPr>
        <w:spacing w:after="0"/>
        <w:rPr>
          <w:lang w:val="es-MX"/>
        </w:rPr>
      </w:pPr>
    </w:p>
    <w:p w:rsidR="001C40DF" w:rsidRDefault="001C40DF" w:rsidP="001C40DF">
      <w:pPr>
        <w:spacing w:after="0"/>
      </w:pPr>
      <w:proofErr w:type="spellStart"/>
      <w:r w:rsidRPr="004365D4">
        <w:rPr>
          <w:rFonts w:ascii="Arial" w:hAnsi="Arial" w:cs="Arial"/>
          <w:b/>
          <w:sz w:val="18"/>
        </w:rPr>
        <w:t>Ligas</w:t>
      </w:r>
      <w:proofErr w:type="spellEnd"/>
      <w:r w:rsidRPr="004365D4">
        <w:rPr>
          <w:rFonts w:ascii="Arial" w:hAnsi="Arial" w:cs="Arial"/>
          <w:b/>
          <w:sz w:val="18"/>
        </w:rPr>
        <w:t xml:space="preserve"> de </w:t>
      </w:r>
      <w:proofErr w:type="spellStart"/>
      <w:r w:rsidRPr="004365D4">
        <w:rPr>
          <w:rFonts w:ascii="Arial" w:hAnsi="Arial" w:cs="Arial"/>
          <w:b/>
          <w:sz w:val="18"/>
        </w:rPr>
        <w:t>interés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3"/>
        <w:gridCol w:w="5113"/>
      </w:tblGrid>
      <w:tr w:rsidR="001C40DF" w:rsidRPr="001C40DF" w:rsidTr="002A2638">
        <w:tc>
          <w:tcPr>
            <w:tcW w:w="5113" w:type="dxa"/>
          </w:tcPr>
          <w:p w:rsidR="001C40DF" w:rsidRDefault="001C40DF" w:rsidP="001C40DF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u w:color="FF6600"/>
                <w:lang w:val="es-ES"/>
              </w:rPr>
            </w:pPr>
            <w:r w:rsidRPr="0075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- Nuffic Neso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Latinoamérica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br/>
            </w:r>
            <w:r w:rsidRPr="00753DD4">
              <w:rPr>
                <w:rFonts w:ascii="Arial" w:hAnsi="Arial" w:cs="Arial"/>
                <w:sz w:val="16"/>
                <w:szCs w:val="16"/>
                <w:lang w:val="es-ES"/>
              </w:rPr>
              <w:t xml:space="preserve">Oficina de representación oficial de la educación superior holandesa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para México y Latinoamérica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hyperlink r:id="rId13" w:history="1">
              <w:r w:rsidRPr="005703E3">
                <w:rPr>
                  <w:rStyle w:val="Hipervnculo"/>
                  <w:rFonts w:cs="Arial"/>
                  <w:sz w:val="16"/>
                  <w:szCs w:val="16"/>
                  <w:lang w:val="es-ES"/>
                </w:rPr>
                <w:t>https://www.nesolatinoamerica.org</w:t>
              </w:r>
            </w:hyperlink>
            <w:r>
              <w:rPr>
                <w:rFonts w:ascii="Arial" w:hAnsi="Arial" w:cs="Arial"/>
                <w:b/>
                <w:sz w:val="16"/>
                <w:szCs w:val="16"/>
                <w:u w:color="FF6600"/>
                <w:lang w:val="es-ES"/>
              </w:rPr>
              <w:t xml:space="preserve"> </w:t>
            </w:r>
          </w:p>
          <w:p w:rsidR="001C40DF" w:rsidRPr="00753DD4" w:rsidRDefault="001C40DF" w:rsidP="001C40DF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5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- Orange </w:t>
            </w:r>
            <w:proofErr w:type="spellStart"/>
            <w:r w:rsidRPr="00753DD4">
              <w:rPr>
                <w:rFonts w:ascii="Arial" w:hAnsi="Arial" w:cs="Arial"/>
                <w:b/>
                <w:sz w:val="16"/>
                <w:szCs w:val="16"/>
                <w:lang w:val="es-ES"/>
              </w:rPr>
              <w:t>Tulip</w:t>
            </w:r>
            <w:proofErr w:type="spellEnd"/>
            <w:r w:rsidRPr="0075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53DD4">
              <w:rPr>
                <w:rFonts w:ascii="Arial" w:hAnsi="Arial" w:cs="Arial"/>
                <w:b/>
                <w:sz w:val="16"/>
                <w:szCs w:val="16"/>
                <w:lang w:val="es-ES"/>
              </w:rPr>
              <w:t>Scholarship</w:t>
            </w:r>
            <w:proofErr w:type="spellEnd"/>
            <w:r w:rsidRPr="0075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- </w:t>
            </w:r>
            <w:r w:rsidRPr="00753DD4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¡sólo para mexicanos!</w:t>
            </w:r>
            <w:r w:rsidRPr="00753DD4">
              <w:rPr>
                <w:rFonts w:ascii="Arial" w:hAnsi="Arial" w:cs="Arial"/>
                <w:sz w:val="16"/>
                <w:szCs w:val="16"/>
                <w:lang w:val="es-ES"/>
              </w:rPr>
              <w:br/>
              <w:t>Programa de becas de universidades holandesas exclusivamente para mexicanos</w:t>
            </w:r>
            <w:r w:rsidRPr="00753DD4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hyperlink r:id="rId14" w:history="1">
              <w:r w:rsidRPr="005703E3">
                <w:rPr>
                  <w:rStyle w:val="Hipervnculo"/>
                  <w:rFonts w:cs="Arial"/>
                  <w:sz w:val="16"/>
                  <w:szCs w:val="16"/>
                  <w:lang w:val="es-ES"/>
                </w:rPr>
                <w:t>https://www.nesolatinoamerica.org/ots</w:t>
              </w:r>
            </w:hyperlink>
            <w:r>
              <w:rPr>
                <w:rFonts w:ascii="Arial" w:hAnsi="Arial" w:cs="Arial"/>
                <w:b/>
                <w:sz w:val="16"/>
                <w:szCs w:val="16"/>
                <w:u w:color="FF6600"/>
                <w:lang w:val="es-ES"/>
              </w:rPr>
              <w:t xml:space="preserve"> </w:t>
            </w:r>
          </w:p>
        </w:tc>
        <w:tc>
          <w:tcPr>
            <w:tcW w:w="5113" w:type="dxa"/>
          </w:tcPr>
          <w:p w:rsidR="001C40DF" w:rsidRDefault="001C40DF" w:rsidP="001C40DF">
            <w:pPr>
              <w:rPr>
                <w:rFonts w:ascii="Arial" w:hAnsi="Arial" w:cs="Arial"/>
                <w:b/>
                <w:sz w:val="16"/>
                <w:szCs w:val="16"/>
                <w:u w:color="FF6600"/>
                <w:lang w:val="es-MX"/>
              </w:rPr>
            </w:pPr>
            <w:r w:rsidRPr="0075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Holland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Scholarship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Programa de becas del gobierno holandés en cooperación con las instituciones de educación superior para estudiantes no-europeos.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hyperlink r:id="rId15" w:history="1">
              <w:r w:rsidRPr="005703E3">
                <w:rPr>
                  <w:rStyle w:val="Hipervnculo"/>
                  <w:rFonts w:cs="Arial"/>
                  <w:sz w:val="16"/>
                  <w:szCs w:val="16"/>
                  <w:lang w:val="es-MX"/>
                </w:rPr>
                <w:t>https://www.nesolatinoamerica.org/hollandscholarship</w:t>
              </w:r>
            </w:hyperlink>
            <w:r>
              <w:rPr>
                <w:rFonts w:ascii="Arial" w:hAnsi="Arial" w:cs="Arial"/>
                <w:b/>
                <w:sz w:val="16"/>
                <w:szCs w:val="16"/>
                <w:u w:color="FF6600"/>
                <w:lang w:val="es-MX"/>
              </w:rPr>
              <w:t xml:space="preserve"> </w:t>
            </w:r>
          </w:p>
          <w:p w:rsidR="001C40DF" w:rsidRPr="001C40DF" w:rsidRDefault="001C40DF" w:rsidP="001C40DF">
            <w:pPr>
              <w:rPr>
                <w:rFonts w:ascii="Arial" w:hAnsi="Arial" w:cs="Arial"/>
                <w:sz w:val="16"/>
                <w:szCs w:val="16"/>
                <w:u w:color="FF6600"/>
                <w:lang w:val="es-MX"/>
              </w:rPr>
            </w:pPr>
            <w:r w:rsidRPr="00753DD4">
              <w:rPr>
                <w:rFonts w:ascii="Arial" w:hAnsi="Arial" w:cs="Arial"/>
                <w:b/>
                <w:sz w:val="16"/>
                <w:szCs w:val="16"/>
                <w:u w:color="FF6600"/>
                <w:lang w:val="es-MX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u w:color="FF6600"/>
                <w:lang w:val="es-MX"/>
              </w:rPr>
              <w:t>Studyfinder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u w:color="FF6600"/>
                <w:lang w:val="es-MX"/>
              </w:rPr>
              <w:t xml:space="preserve">: buscador de programas </w:t>
            </w:r>
            <w:r w:rsidRPr="00753DD4">
              <w:rPr>
                <w:rFonts w:ascii="Arial" w:hAnsi="Arial" w:cs="Arial"/>
                <w:sz w:val="16"/>
                <w:szCs w:val="16"/>
                <w:u w:color="FF6600"/>
                <w:lang w:val="es-MX"/>
              </w:rPr>
              <w:br/>
            </w:r>
            <w:r>
              <w:rPr>
                <w:rFonts w:ascii="Arial" w:hAnsi="Arial" w:cs="Arial"/>
                <w:sz w:val="16"/>
                <w:szCs w:val="16"/>
                <w:u w:color="FF6600"/>
                <w:lang w:val="es-MX"/>
              </w:rPr>
              <w:t>Buscador en línea de todos los programas de estudio impartidos en inglés en las instituciones de educación superior en los Países Bajos.</w:t>
            </w:r>
            <w:r>
              <w:rPr>
                <w:rFonts w:ascii="Arial" w:hAnsi="Arial" w:cs="Arial"/>
                <w:sz w:val="16"/>
                <w:szCs w:val="16"/>
                <w:u w:color="FF6600"/>
                <w:lang w:val="es-MX"/>
              </w:rPr>
              <w:br/>
            </w:r>
            <w:hyperlink r:id="rId16" w:history="1">
              <w:r w:rsidRPr="005703E3">
                <w:rPr>
                  <w:rStyle w:val="Hipervnculo"/>
                  <w:rFonts w:cs="Arial"/>
                  <w:sz w:val="16"/>
                  <w:szCs w:val="16"/>
                  <w:lang w:val="es-MX"/>
                </w:rPr>
                <w:t>https://www.nesolatinoamerica.org/programas</w:t>
              </w:r>
            </w:hyperlink>
            <w:r>
              <w:rPr>
                <w:rFonts w:ascii="Arial" w:hAnsi="Arial" w:cs="Arial"/>
                <w:sz w:val="16"/>
                <w:szCs w:val="16"/>
                <w:u w:color="FF6600"/>
                <w:lang w:val="es-MX"/>
              </w:rPr>
              <w:t xml:space="preserve"> </w:t>
            </w:r>
          </w:p>
        </w:tc>
      </w:tr>
    </w:tbl>
    <w:p w:rsidR="001C40DF" w:rsidRPr="001C40DF" w:rsidRDefault="001C40DF" w:rsidP="001C40DF">
      <w:pPr>
        <w:spacing w:after="0"/>
        <w:rPr>
          <w:rFonts w:ascii="Arial" w:hAnsi="Arial" w:cs="Arial"/>
          <w:b/>
          <w:sz w:val="18"/>
          <w:lang w:val="es-MX"/>
        </w:rPr>
      </w:pPr>
    </w:p>
    <w:p w:rsidR="001C40DF" w:rsidRPr="001C40DF" w:rsidRDefault="001C40DF" w:rsidP="001C40DF">
      <w:pPr>
        <w:spacing w:after="0"/>
        <w:rPr>
          <w:rFonts w:ascii="Arial" w:hAnsi="Arial" w:cs="Arial"/>
          <w:b/>
          <w:sz w:val="18"/>
          <w:lang w:val="es-MX"/>
        </w:rPr>
      </w:pPr>
      <w:r w:rsidRPr="001C40DF">
        <w:rPr>
          <w:rFonts w:ascii="Arial" w:hAnsi="Arial" w:cs="Arial"/>
          <w:b/>
          <w:sz w:val="18"/>
          <w:lang w:val="es-MX"/>
        </w:rPr>
        <w:t>Para más información favor de comunicarse con:</w:t>
      </w:r>
      <w:r w:rsidRPr="001C40DF">
        <w:rPr>
          <w:rFonts w:ascii="Arial" w:hAnsi="Arial" w:cs="Arial"/>
          <w:b/>
          <w:sz w:val="18"/>
          <w:lang w:val="es-MX"/>
        </w:rPr>
        <w:br/>
      </w:r>
    </w:p>
    <w:p w:rsidR="001C40DF" w:rsidRPr="00E32E62" w:rsidRDefault="008337C8" w:rsidP="001C40DF">
      <w:pPr>
        <w:spacing w:after="0"/>
        <w:rPr>
          <w:rFonts w:ascii="Arial" w:hAnsi="Arial" w:cs="Arial"/>
          <w:b/>
          <w:i/>
          <w:sz w:val="18"/>
          <w:lang w:val="en-US"/>
        </w:rPr>
      </w:pPr>
      <w:r>
        <w:rPr>
          <w:rFonts w:ascii="Arial" w:hAnsi="Arial" w:cs="Arial"/>
          <w:b/>
          <w:i/>
          <w:sz w:val="18"/>
          <w:lang w:val="en-US"/>
        </w:rPr>
        <w:t>Karla Zarco</w:t>
      </w:r>
    </w:p>
    <w:p w:rsidR="001C40DF" w:rsidRPr="00E32E62" w:rsidRDefault="008337C8" w:rsidP="001C40DF">
      <w:pPr>
        <w:spacing w:after="0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Education </w:t>
      </w:r>
      <w:proofErr w:type="gramStart"/>
      <w:r>
        <w:rPr>
          <w:rFonts w:ascii="Arial" w:hAnsi="Arial" w:cs="Arial"/>
          <w:sz w:val="16"/>
          <w:lang w:val="en-US"/>
        </w:rPr>
        <w:t xml:space="preserve">Promotion </w:t>
      </w:r>
      <w:r w:rsidR="001C40DF" w:rsidRPr="00E32E62">
        <w:rPr>
          <w:rFonts w:ascii="Arial" w:hAnsi="Arial" w:cs="Arial"/>
          <w:sz w:val="16"/>
          <w:lang w:val="en-US"/>
        </w:rPr>
        <w:t xml:space="preserve"> Officer</w:t>
      </w:r>
      <w:proofErr w:type="gramEnd"/>
      <w:r w:rsidR="001C40DF" w:rsidRPr="00E32E62">
        <w:rPr>
          <w:rFonts w:ascii="Arial" w:hAnsi="Arial" w:cs="Arial"/>
          <w:sz w:val="16"/>
          <w:lang w:val="en-US"/>
        </w:rPr>
        <w:t xml:space="preserve">, Nuffic Neso </w:t>
      </w:r>
      <w:proofErr w:type="spellStart"/>
      <w:r w:rsidR="001C40DF">
        <w:rPr>
          <w:rFonts w:ascii="Arial" w:hAnsi="Arial" w:cs="Arial"/>
          <w:sz w:val="16"/>
          <w:lang w:val="en-US"/>
        </w:rPr>
        <w:t>Latinoamérica</w:t>
      </w:r>
      <w:proofErr w:type="spell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3"/>
        <w:gridCol w:w="5113"/>
      </w:tblGrid>
      <w:tr w:rsidR="001C40DF" w:rsidRPr="00B11817" w:rsidTr="002A2638">
        <w:tc>
          <w:tcPr>
            <w:tcW w:w="5113" w:type="dxa"/>
          </w:tcPr>
          <w:p w:rsidR="001C40DF" w:rsidRPr="00B11817" w:rsidRDefault="001C40DF" w:rsidP="002A2638">
            <w:pPr>
              <w:rPr>
                <w:rFonts w:ascii="Arial" w:hAnsi="Arial" w:cs="Arial"/>
                <w:sz w:val="16"/>
                <w:lang w:val="fr-FR"/>
              </w:rPr>
            </w:pPr>
            <w:r w:rsidRPr="00B11817">
              <w:rPr>
                <w:rFonts w:ascii="Arial" w:hAnsi="Arial" w:cs="Arial"/>
                <w:sz w:val="16"/>
                <w:lang w:val="fr-FR"/>
              </w:rPr>
              <w:t xml:space="preserve">E </w:t>
            </w:r>
            <w:r w:rsidRPr="00B11817">
              <w:rPr>
                <w:rFonts w:ascii="Arial" w:hAnsi="Arial" w:cs="Arial"/>
                <w:sz w:val="16"/>
                <w:lang w:val="fr-FR"/>
              </w:rPr>
              <w:tab/>
            </w:r>
            <w:hyperlink r:id="rId17" w:history="1">
              <w:r w:rsidR="009D7146" w:rsidRPr="005872B4">
                <w:rPr>
                  <w:rStyle w:val="Hipervnculo"/>
                  <w:rFonts w:cs="Arial"/>
                  <w:sz w:val="16"/>
                  <w:lang w:val="fr-FR"/>
                </w:rPr>
                <w:t>kzarco@nesomexico.org</w:t>
              </w:r>
            </w:hyperlink>
            <w:r w:rsidR="009D7146">
              <w:rPr>
                <w:rFonts w:ascii="Arial" w:hAnsi="Arial" w:cs="Arial"/>
                <w:b/>
                <w:sz w:val="16"/>
                <w:u w:color="FF6600"/>
                <w:lang w:val="fr-FR"/>
              </w:rPr>
              <w:t xml:space="preserve"> </w:t>
            </w:r>
            <w:r w:rsidR="009D7146">
              <w:rPr>
                <w:rFonts w:ascii="Arial" w:hAnsi="Arial" w:cs="Arial"/>
                <w:sz w:val="16"/>
                <w:lang w:val="fr-FR"/>
              </w:rPr>
              <w:t xml:space="preserve"> </w:t>
            </w:r>
          </w:p>
          <w:p w:rsidR="001C40DF" w:rsidRPr="00B11817" w:rsidRDefault="001C40DF" w:rsidP="002A2638">
            <w:pPr>
              <w:rPr>
                <w:rFonts w:ascii="Arial" w:hAnsi="Arial" w:cs="Arial"/>
                <w:sz w:val="16"/>
                <w:lang w:val="fr-FR"/>
              </w:rPr>
            </w:pPr>
            <w:r w:rsidRPr="00B11817">
              <w:rPr>
                <w:rFonts w:ascii="Arial" w:hAnsi="Arial" w:cs="Arial"/>
                <w:sz w:val="16"/>
                <w:lang w:val="fr-FR"/>
              </w:rPr>
              <w:t>T / F</w:t>
            </w:r>
            <w:r w:rsidRPr="00B11817">
              <w:rPr>
                <w:rFonts w:ascii="Arial" w:hAnsi="Arial" w:cs="Arial"/>
                <w:sz w:val="16"/>
                <w:lang w:val="fr-FR"/>
              </w:rPr>
              <w:tab/>
              <w:t>(+52) (55) 5254-4013</w:t>
            </w:r>
            <w:r>
              <w:rPr>
                <w:rFonts w:ascii="Arial" w:hAnsi="Arial" w:cs="Arial"/>
                <w:sz w:val="16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fr-FR"/>
              </w:rPr>
              <w:t>ext</w:t>
            </w:r>
            <w:proofErr w:type="spellEnd"/>
            <w:r>
              <w:rPr>
                <w:rFonts w:ascii="Arial" w:hAnsi="Arial" w:cs="Arial"/>
                <w:sz w:val="16"/>
                <w:lang w:val="fr-FR"/>
              </w:rPr>
              <w:t xml:space="preserve">. </w:t>
            </w:r>
            <w:r w:rsidR="008337C8">
              <w:rPr>
                <w:rFonts w:ascii="Arial" w:hAnsi="Arial" w:cs="Arial"/>
                <w:sz w:val="16"/>
                <w:lang w:val="fr-FR"/>
              </w:rPr>
              <w:t>101</w:t>
            </w:r>
          </w:p>
          <w:p w:rsidR="001C40DF" w:rsidRDefault="001C40DF" w:rsidP="002A2638">
            <w:pPr>
              <w:rPr>
                <w:rFonts w:ascii="Arial" w:hAnsi="Arial" w:cs="Arial"/>
                <w:sz w:val="16"/>
                <w:lang w:val="fr-FR"/>
              </w:rPr>
            </w:pPr>
            <w:r w:rsidRPr="00B11817">
              <w:rPr>
                <w:rFonts w:ascii="Arial" w:hAnsi="Arial" w:cs="Arial"/>
                <w:sz w:val="16"/>
                <w:lang w:val="fr-FR"/>
              </w:rPr>
              <w:t>T / F</w:t>
            </w:r>
            <w:r w:rsidRPr="00B11817">
              <w:rPr>
                <w:rFonts w:ascii="Arial" w:hAnsi="Arial" w:cs="Arial"/>
                <w:sz w:val="16"/>
                <w:lang w:val="fr-FR"/>
              </w:rPr>
              <w:tab/>
              <w:t>01-800-HOLANDA (01-800-465-2632)</w:t>
            </w:r>
          </w:p>
          <w:p w:rsidR="001C40DF" w:rsidRPr="008337C8" w:rsidRDefault="001C40DF" w:rsidP="008337C8">
            <w:pPr>
              <w:rPr>
                <w:rFonts w:ascii="Arial" w:hAnsi="Arial" w:cs="Arial"/>
                <w:sz w:val="16"/>
                <w:lang w:val="es-MX"/>
              </w:rPr>
            </w:pPr>
            <w:proofErr w:type="spellStart"/>
            <w:r>
              <w:rPr>
                <w:rFonts w:ascii="Arial" w:hAnsi="Arial" w:cs="Arial"/>
                <w:sz w:val="16"/>
                <w:lang w:val="fr-FR"/>
              </w:rPr>
              <w:t>Skype</w:t>
            </w:r>
            <w:proofErr w:type="spellEnd"/>
            <w:r>
              <w:rPr>
                <w:rFonts w:ascii="Arial" w:hAnsi="Arial" w:cs="Arial"/>
                <w:sz w:val="16"/>
                <w:lang w:val="fr-FR"/>
              </w:rPr>
              <w:tab/>
            </w:r>
            <w:hyperlink r:id="rId18" w:history="1">
              <w:proofErr w:type="spellStart"/>
              <w:r w:rsidR="008337C8" w:rsidRPr="00753DD4">
                <w:rPr>
                  <w:rStyle w:val="Hipervnculo"/>
                  <w:rFonts w:cs="Arial"/>
                  <w:sz w:val="16"/>
                  <w:lang w:val="fr-FR"/>
                </w:rPr>
                <w:t>neso</w:t>
              </w:r>
              <w:r w:rsidR="008337C8">
                <w:rPr>
                  <w:rStyle w:val="Hipervnculo"/>
                  <w:rFonts w:cs="Arial"/>
                  <w:sz w:val="16"/>
                  <w:lang w:val="fr-FR"/>
                </w:rPr>
                <w:t>mexico</w:t>
              </w:r>
              <w:proofErr w:type="spellEnd"/>
            </w:hyperlink>
          </w:p>
        </w:tc>
        <w:tc>
          <w:tcPr>
            <w:tcW w:w="5113" w:type="dxa"/>
          </w:tcPr>
          <w:p w:rsidR="001C40DF" w:rsidRPr="00B11817" w:rsidRDefault="001C40DF" w:rsidP="002A2638">
            <w:pPr>
              <w:rPr>
                <w:rFonts w:ascii="Arial" w:hAnsi="Arial" w:cs="Arial"/>
                <w:sz w:val="16"/>
                <w:lang w:val="es-ES"/>
              </w:rPr>
            </w:pPr>
            <w:r w:rsidRPr="00B11817">
              <w:rPr>
                <w:rFonts w:ascii="Arial" w:hAnsi="Arial" w:cs="Arial"/>
                <w:sz w:val="16"/>
                <w:lang w:val="es-ES"/>
              </w:rPr>
              <w:t>D</w:t>
            </w:r>
            <w:r w:rsidRPr="00B11817">
              <w:rPr>
                <w:rFonts w:ascii="Arial" w:hAnsi="Arial" w:cs="Arial"/>
                <w:sz w:val="16"/>
                <w:lang w:val="es-ES"/>
              </w:rPr>
              <w:tab/>
              <w:t>Galileo 50, planta alta 2</w:t>
            </w:r>
          </w:p>
          <w:p w:rsidR="001C40DF" w:rsidRPr="00B11817" w:rsidRDefault="001C40DF" w:rsidP="002A2638">
            <w:pPr>
              <w:rPr>
                <w:rFonts w:ascii="Arial" w:hAnsi="Arial" w:cs="Arial"/>
                <w:sz w:val="16"/>
                <w:lang w:val="es-ES"/>
              </w:rPr>
            </w:pPr>
            <w:r w:rsidRPr="00B11817">
              <w:rPr>
                <w:rFonts w:ascii="Arial" w:hAnsi="Arial" w:cs="Arial"/>
                <w:sz w:val="16"/>
                <w:lang w:val="es-ES"/>
              </w:rPr>
              <w:tab/>
              <w:t>Col. Polanco</w:t>
            </w:r>
          </w:p>
          <w:p w:rsidR="001C40DF" w:rsidRPr="00B11817" w:rsidRDefault="001C40DF" w:rsidP="002A2638">
            <w:pPr>
              <w:rPr>
                <w:rFonts w:ascii="Arial" w:hAnsi="Arial" w:cs="Arial"/>
                <w:sz w:val="16"/>
                <w:lang w:val="es-ES"/>
              </w:rPr>
            </w:pPr>
            <w:r w:rsidRPr="00B11817">
              <w:rPr>
                <w:rFonts w:ascii="Arial" w:hAnsi="Arial" w:cs="Arial"/>
                <w:sz w:val="16"/>
                <w:lang w:val="es-ES"/>
              </w:rPr>
              <w:tab/>
              <w:t>México D.F. 11560</w:t>
            </w:r>
          </w:p>
          <w:p w:rsidR="001C40DF" w:rsidRPr="00753DD4" w:rsidRDefault="001C40DF" w:rsidP="002A2638">
            <w:pPr>
              <w:rPr>
                <w:rFonts w:ascii="Arial" w:hAnsi="Arial" w:cs="Arial"/>
                <w:sz w:val="16"/>
                <w:lang w:val="es-MX"/>
              </w:rPr>
            </w:pPr>
            <w:r w:rsidRPr="00B11817">
              <w:rPr>
                <w:rFonts w:ascii="Arial" w:hAnsi="Arial" w:cs="Arial"/>
                <w:sz w:val="16"/>
                <w:lang w:val="es-ES"/>
              </w:rPr>
              <w:tab/>
              <w:t>México</w:t>
            </w:r>
          </w:p>
        </w:tc>
      </w:tr>
    </w:tbl>
    <w:p w:rsidR="001C40DF" w:rsidRDefault="001C40DF" w:rsidP="00EE2ECE">
      <w:pPr>
        <w:spacing w:after="0"/>
      </w:pPr>
    </w:p>
    <w:sectPr w:rsidR="001C40DF" w:rsidSect="00372E88">
      <w:headerReference w:type="even" r:id="rId19"/>
      <w:headerReference w:type="default" r:id="rId20"/>
      <w:footerReference w:type="default" r:id="rId21"/>
      <w:pgSz w:w="12240" w:h="15840" w:code="1"/>
      <w:pgMar w:top="1440" w:right="1077" w:bottom="1440" w:left="1077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35" w:rsidRDefault="00E00735" w:rsidP="00372E88">
      <w:pPr>
        <w:spacing w:after="0" w:line="240" w:lineRule="auto"/>
      </w:pPr>
      <w:r>
        <w:separator/>
      </w:r>
    </w:p>
  </w:endnote>
  <w:endnote w:type="continuationSeparator" w:id="0">
    <w:p w:rsidR="00E00735" w:rsidRDefault="00E00735" w:rsidP="0037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8" w:rsidRDefault="00372E88">
    <w:pPr>
      <w:pStyle w:val="Piedepgina"/>
    </w:pPr>
    <w:r w:rsidRPr="00372E88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3992880</wp:posOffset>
          </wp:positionH>
          <wp:positionV relativeFrom="paragraph">
            <wp:posOffset>-652780</wp:posOffset>
          </wp:positionV>
          <wp:extent cx="2943225" cy="847725"/>
          <wp:effectExtent l="0" t="0" r="0" b="0"/>
          <wp:wrapSquare wrapText="bothSides"/>
          <wp:docPr id="2" name="Imagen 2" descr="N_NESO_NL_GB~LM01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_NESO_NL_GB~LM01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35" w:rsidRDefault="00E00735" w:rsidP="00372E88">
      <w:pPr>
        <w:spacing w:after="0" w:line="240" w:lineRule="auto"/>
      </w:pPr>
      <w:r>
        <w:separator/>
      </w:r>
    </w:p>
  </w:footnote>
  <w:footnote w:type="continuationSeparator" w:id="0">
    <w:p w:rsidR="00E00735" w:rsidRDefault="00E00735" w:rsidP="0037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50" w:rsidRDefault="002523D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30" w:rsidRDefault="00ED5D30" w:rsidP="00372E88">
    <w:pPr>
      <w:spacing w:after="0" w:line="240" w:lineRule="auto"/>
    </w:pPr>
  </w:p>
  <w:p w:rsidR="00372E88" w:rsidRPr="00372E88" w:rsidRDefault="00372E88" w:rsidP="00372E88">
    <w:pPr>
      <w:spacing w:after="0" w:line="240" w:lineRule="auto"/>
      <w:rPr>
        <w:rFonts w:ascii="Arial" w:hAnsi="Arial"/>
        <w:color w:val="FF6600"/>
        <w:sz w:val="18"/>
        <w:szCs w:val="18"/>
      </w:rPr>
    </w:pPr>
    <w:r w:rsidRPr="00372E88">
      <w:rPr>
        <w:rFonts w:ascii="Arial" w:hAnsi="Arial"/>
        <w:noProof/>
        <w:color w:val="FF6600"/>
        <w:lang w:val="es-MX" w:eastAsia="es-MX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4221480</wp:posOffset>
          </wp:positionH>
          <wp:positionV relativeFrom="paragraph">
            <wp:posOffset>-52705</wp:posOffset>
          </wp:positionV>
          <wp:extent cx="2771775" cy="819150"/>
          <wp:effectExtent l="19050" t="0" r="0" b="0"/>
          <wp:wrapSquare wrapText="bothSides"/>
          <wp:docPr id="1" name="Imagen 1" descr="N_NESO#LP01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_NESO#LP01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Pr="00372E88">
        <w:rPr>
          <w:rStyle w:val="Hipervnculo"/>
          <w:sz w:val="18"/>
          <w:szCs w:val="18"/>
        </w:rPr>
        <w:t>www.nesomexico.org</w:t>
      </w:r>
    </w:hyperlink>
  </w:p>
  <w:p w:rsidR="00372E88" w:rsidRPr="00372E88" w:rsidRDefault="00767FE1" w:rsidP="00372E88">
    <w:pPr>
      <w:spacing w:after="0" w:line="240" w:lineRule="auto"/>
      <w:rPr>
        <w:rFonts w:ascii="Arial" w:hAnsi="Arial"/>
        <w:color w:val="FF6600"/>
        <w:sz w:val="18"/>
        <w:szCs w:val="18"/>
      </w:rPr>
    </w:pPr>
    <w:hyperlink r:id="rId3" w:history="1">
      <w:r w:rsidR="00372E88" w:rsidRPr="00372E88">
        <w:rPr>
          <w:rStyle w:val="Hipervnculo"/>
          <w:sz w:val="18"/>
          <w:szCs w:val="18"/>
        </w:rPr>
        <w:t>info@nesomexico.org</w:t>
      </w:r>
    </w:hyperlink>
    <w:r w:rsidR="00372E88" w:rsidRPr="00372E88">
      <w:rPr>
        <w:rFonts w:ascii="Arial" w:hAnsi="Arial"/>
        <w:color w:val="FF6600"/>
        <w:sz w:val="18"/>
        <w:szCs w:val="18"/>
      </w:rPr>
      <w:t xml:space="preserve"> </w:t>
    </w:r>
  </w:p>
  <w:p w:rsidR="00372E88" w:rsidRPr="001C40DF" w:rsidRDefault="00E855E8" w:rsidP="00372E88">
    <w:pPr>
      <w:spacing w:after="0" w:line="240" w:lineRule="auto"/>
      <w:rPr>
        <w:rFonts w:ascii="Arial" w:hAnsi="Arial"/>
        <w:sz w:val="18"/>
        <w:szCs w:val="18"/>
        <w:lang w:val="es-MX"/>
      </w:rPr>
    </w:pPr>
    <w:r w:rsidRPr="001C40DF">
      <w:rPr>
        <w:rFonts w:ascii="Arial" w:hAnsi="Arial"/>
        <w:sz w:val="18"/>
        <w:szCs w:val="18"/>
        <w:lang w:val="es-MX"/>
      </w:rPr>
      <w:t>Galileo 50, planta alta</w:t>
    </w:r>
    <w:r w:rsidR="00FF023C" w:rsidRPr="001C40DF">
      <w:rPr>
        <w:rFonts w:ascii="Arial" w:hAnsi="Arial"/>
        <w:sz w:val="18"/>
        <w:szCs w:val="18"/>
        <w:lang w:val="es-MX"/>
      </w:rPr>
      <w:t xml:space="preserve"> 2</w:t>
    </w:r>
  </w:p>
  <w:p w:rsidR="00372E88" w:rsidRPr="001C40DF" w:rsidRDefault="00372E88" w:rsidP="00372E88">
    <w:pPr>
      <w:spacing w:after="0" w:line="240" w:lineRule="auto"/>
      <w:rPr>
        <w:rFonts w:ascii="Arial" w:hAnsi="Arial"/>
        <w:sz w:val="18"/>
        <w:szCs w:val="18"/>
        <w:lang w:val="es-MX"/>
      </w:rPr>
    </w:pPr>
    <w:r w:rsidRPr="001C40DF">
      <w:rPr>
        <w:rFonts w:ascii="Arial" w:hAnsi="Arial"/>
        <w:sz w:val="18"/>
        <w:szCs w:val="18"/>
        <w:lang w:val="es-MX"/>
      </w:rPr>
      <w:t xml:space="preserve">Col. </w:t>
    </w:r>
    <w:r w:rsidR="00E855E8" w:rsidRPr="001C40DF">
      <w:rPr>
        <w:rFonts w:ascii="Arial" w:hAnsi="Arial"/>
        <w:sz w:val="18"/>
        <w:szCs w:val="18"/>
        <w:lang w:val="es-MX"/>
      </w:rPr>
      <w:t>Polanco</w:t>
    </w:r>
  </w:p>
  <w:p w:rsidR="00372E88" w:rsidRPr="001C40DF" w:rsidRDefault="00372E88" w:rsidP="00372E88">
    <w:pPr>
      <w:spacing w:after="0" w:line="240" w:lineRule="auto"/>
      <w:rPr>
        <w:rFonts w:ascii="Arial" w:hAnsi="Arial"/>
        <w:sz w:val="18"/>
        <w:szCs w:val="18"/>
        <w:lang w:val="es-MX"/>
      </w:rPr>
    </w:pPr>
    <w:r w:rsidRPr="001C40DF">
      <w:rPr>
        <w:rFonts w:ascii="Arial" w:hAnsi="Arial"/>
        <w:sz w:val="18"/>
        <w:szCs w:val="18"/>
        <w:lang w:val="es-MX"/>
      </w:rPr>
      <w:t>México, D.F. 115</w:t>
    </w:r>
    <w:r w:rsidR="00E855E8" w:rsidRPr="001C40DF">
      <w:rPr>
        <w:rFonts w:ascii="Arial" w:hAnsi="Arial"/>
        <w:sz w:val="18"/>
        <w:szCs w:val="18"/>
        <w:lang w:val="es-MX"/>
      </w:rPr>
      <w:t>6</w:t>
    </w:r>
    <w:r w:rsidRPr="001C40DF">
      <w:rPr>
        <w:rFonts w:ascii="Arial" w:hAnsi="Arial"/>
        <w:sz w:val="18"/>
        <w:szCs w:val="18"/>
        <w:lang w:val="es-MX"/>
      </w:rPr>
      <w:t>0</w:t>
    </w:r>
  </w:p>
  <w:p w:rsidR="00372E88" w:rsidRDefault="00372E88" w:rsidP="00372E88">
    <w:pPr>
      <w:spacing w:after="0" w:line="240" w:lineRule="auto"/>
      <w:rPr>
        <w:rFonts w:ascii="Arial" w:hAnsi="Arial"/>
        <w:sz w:val="18"/>
        <w:szCs w:val="18"/>
      </w:rPr>
    </w:pPr>
    <w:r w:rsidRPr="00372E88">
      <w:rPr>
        <w:rFonts w:ascii="Arial" w:hAnsi="Arial"/>
        <w:sz w:val="18"/>
        <w:szCs w:val="18"/>
      </w:rPr>
      <w:t>Tel. &amp; fax (+52) 55 5254-4013</w:t>
    </w:r>
  </w:p>
  <w:p w:rsidR="00F50B78" w:rsidRPr="00372E88" w:rsidRDefault="00F50B78" w:rsidP="00372E88">
    <w:pPr>
      <w:spacing w:after="0" w:line="240" w:lineRule="auto"/>
      <w:rPr>
        <w:rFonts w:ascii="Arial" w:hAnsi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0731"/>
    <w:rsid w:val="0000782F"/>
    <w:rsid w:val="00020731"/>
    <w:rsid w:val="001C40DF"/>
    <w:rsid w:val="002523DB"/>
    <w:rsid w:val="0032344D"/>
    <w:rsid w:val="00326DF9"/>
    <w:rsid w:val="00372E88"/>
    <w:rsid w:val="00487E1B"/>
    <w:rsid w:val="004F1A59"/>
    <w:rsid w:val="00500964"/>
    <w:rsid w:val="00522B50"/>
    <w:rsid w:val="006360D2"/>
    <w:rsid w:val="00767FE1"/>
    <w:rsid w:val="008337C8"/>
    <w:rsid w:val="008B1366"/>
    <w:rsid w:val="0096367A"/>
    <w:rsid w:val="00972857"/>
    <w:rsid w:val="009D7146"/>
    <w:rsid w:val="00AE4E57"/>
    <w:rsid w:val="00B00749"/>
    <w:rsid w:val="00B44F14"/>
    <w:rsid w:val="00CD499D"/>
    <w:rsid w:val="00E00735"/>
    <w:rsid w:val="00E855E8"/>
    <w:rsid w:val="00ED5D30"/>
    <w:rsid w:val="00EE0B1D"/>
    <w:rsid w:val="00EE2ECE"/>
    <w:rsid w:val="00F50B78"/>
    <w:rsid w:val="00FF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DF"/>
    <w:pPr>
      <w:spacing w:after="160" w:line="259" w:lineRule="auto"/>
    </w:pPr>
    <w:rPr>
      <w:rFonts w:eastAsiaTheme="minorHAnsi"/>
      <w:lang w:val="en-GB" w:eastAsia="en-GB" w:bidi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2E88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MX" w:eastAsia="es-MX" w:bidi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2E88"/>
  </w:style>
  <w:style w:type="paragraph" w:styleId="Piedepgina">
    <w:name w:val="footer"/>
    <w:basedOn w:val="Normal"/>
    <w:link w:val="PiedepginaCar"/>
    <w:uiPriority w:val="99"/>
    <w:semiHidden/>
    <w:unhideWhenUsed/>
    <w:rsid w:val="00372E88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val="es-MX" w:eastAsia="es-MX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2E88"/>
  </w:style>
  <w:style w:type="character" w:styleId="Hipervnculo">
    <w:name w:val="Hyperlink"/>
    <w:basedOn w:val="Fuentedeprrafopredeter"/>
    <w:rsid w:val="00372E88"/>
    <w:rPr>
      <w:rFonts w:ascii="Arial" w:hAnsi="Arial"/>
      <w:b/>
      <w:color w:val="FF6600"/>
      <w:u w:val="single" w:color="FF6600"/>
    </w:rPr>
  </w:style>
  <w:style w:type="paragraph" w:customStyle="1" w:styleId="Default">
    <w:name w:val="Default"/>
    <w:rsid w:val="001C40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GB" w:bidi="en-GB"/>
    </w:rPr>
  </w:style>
  <w:style w:type="table" w:styleId="Tablaconcuadrcula">
    <w:name w:val="Table Grid"/>
    <w:basedOn w:val="Tablanormal"/>
    <w:uiPriority w:val="59"/>
    <w:rsid w:val="001C40DF"/>
    <w:pPr>
      <w:spacing w:after="0" w:line="240" w:lineRule="auto"/>
    </w:pPr>
    <w:rPr>
      <w:lang w:val="nl-NL" w:eastAsia="nl-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7C8"/>
    <w:rPr>
      <w:rFonts w:ascii="Tahoma" w:eastAsiaTheme="minorHAnsi" w:hAnsi="Tahoma" w:cs="Tahoma"/>
      <w:sz w:val="16"/>
      <w:szCs w:val="16"/>
      <w:lang w:val="en-GB" w:eastAsia="en-GB" w:bidi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9D71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1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146"/>
    <w:rPr>
      <w:rFonts w:eastAsiaTheme="minorHAnsi"/>
      <w:sz w:val="20"/>
      <w:szCs w:val="20"/>
      <w:lang w:val="en-GB" w:eastAsia="en-GB" w:bidi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1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olatinoamerica.org/ots" TargetMode="External"/><Relationship Id="rId13" Type="http://schemas.openxmlformats.org/officeDocument/2006/relationships/hyperlink" Target="https://www.nesolatinoamerica.org" TargetMode="External"/><Relationship Id="rId18" Type="http://schemas.openxmlformats.org/officeDocument/2006/relationships/hyperlink" Target="skype:nesosander?cal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nesolatinoamerica.org/hollandscholarship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kzarco@nesomexico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solatinoamerica.org/programas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s://www.nesolatinoamerica.org/hollandscholarship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nesolatinoamerica.org/ot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esomexico.org" TargetMode="External"/><Relationship Id="rId2" Type="http://schemas.openxmlformats.org/officeDocument/2006/relationships/hyperlink" Target="http://www.nesomexico.org" TargetMode="External"/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soSander\AppData\Roaming\Microsoft\Plantillas\Nuffic%20Neso%20Mexico%20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Nuffic Neso Mexico 2012</Template>
  <TotalTime>1</TotalTime>
  <Pages>2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Nuffic Neso Mexico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Verkijk</dc:creator>
  <cp:lastModifiedBy>Sander Verkijk</cp:lastModifiedBy>
  <cp:revision>3</cp:revision>
  <dcterms:created xsi:type="dcterms:W3CDTF">2015-02-16T15:53:00Z</dcterms:created>
  <dcterms:modified xsi:type="dcterms:W3CDTF">2015-02-16T17:30:00Z</dcterms:modified>
</cp:coreProperties>
</file>